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7C18" w14:textId="0CC88FA3" w:rsidR="00392697" w:rsidRPr="003918C0" w:rsidRDefault="00425997" w:rsidP="00425997">
      <w:pPr>
        <w:jc w:val="both"/>
        <w:rPr>
          <w:lang w:val="en-US"/>
        </w:rPr>
      </w:pPr>
      <w:r w:rsidRPr="00425997">
        <w:rPr>
          <w:lang w:val="en-US"/>
        </w:rPr>
        <w:t>This paper examines how loan portfolio heterogeneity shapes the build-up of systemic risk and the design of the countercyclical capital buffer (</w:t>
      </w:r>
      <w:proofErr w:type="spellStart"/>
      <w:r w:rsidRPr="00425997">
        <w:rPr>
          <w:lang w:val="en-US"/>
        </w:rPr>
        <w:t>CCyB</w:t>
      </w:r>
      <w:proofErr w:type="spellEnd"/>
      <w:r w:rsidRPr="00425997">
        <w:rPr>
          <w:lang w:val="en-US"/>
        </w:rPr>
        <w:t xml:space="preserve">) in an emerging, bank-based economy. Using Bolivia as a case study, we show that a uniform </w:t>
      </w:r>
      <w:proofErr w:type="spellStart"/>
      <w:r w:rsidRPr="00425997">
        <w:rPr>
          <w:lang w:val="en-US"/>
        </w:rPr>
        <w:t>CCyB</w:t>
      </w:r>
      <w:proofErr w:type="spellEnd"/>
      <w:r w:rsidRPr="00425997">
        <w:rPr>
          <w:lang w:val="en-US"/>
        </w:rPr>
        <w:t xml:space="preserve"> calibrated on the credit-to-GDP gap fails to reflect banks’ differentiated sensitivity to the cycle and may induce moral hazard, competitive distortions and weaker macroprudential effectiveness. We propose a micro-foundation for macroprudential policy by modelling each bank’s loan book as a risky asset in a CAPM-type framework without a risk-free asset. In this setting, the “loan beta” with respect to real GDP growth summarizes the systematic risk taken by each institution and its propensity to amplify or dampen the business cycle. Using quarterly data for 16 banks, we estimate contemporaneous and lagged betas and relate them to business models, portfolio composition and asset quality. The financial cycle lags the real cycle by around four quarters and pro-cyclicality is heterogeneous: universal banks cluster around a beta of one, the SME-oriented banks display betas above two, and microfinance institutions show much lower or even cyclical sensitivities. These results support a proportional, segmented </w:t>
      </w:r>
      <w:proofErr w:type="spellStart"/>
      <w:r w:rsidRPr="00425997">
        <w:rPr>
          <w:lang w:val="en-US"/>
        </w:rPr>
        <w:t>CCyB</w:t>
      </w:r>
      <w:proofErr w:type="spellEnd"/>
      <w:r w:rsidRPr="00425997">
        <w:rPr>
          <w:lang w:val="en-US"/>
        </w:rPr>
        <w:t xml:space="preserve"> design, where activation and calibration are anchored in portfolio betas and business models rather than applied uniformly across institutions, thereby strengthening the link between micro-level risk-taking and macroprudential objectives. The framework is tractable and can be generalized to other concentrated banking systems.</w:t>
      </w:r>
    </w:p>
    <w:sectPr w:rsidR="00392697" w:rsidRPr="003918C0" w:rsidSect="009D73B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1AB30" w14:textId="77777777" w:rsidR="005A2A94" w:rsidRDefault="005A2A94" w:rsidP="005E18E4">
      <w:pPr>
        <w:spacing w:after="0" w:line="240" w:lineRule="auto"/>
      </w:pPr>
      <w:r>
        <w:separator/>
      </w:r>
    </w:p>
  </w:endnote>
  <w:endnote w:type="continuationSeparator" w:id="0">
    <w:p w14:paraId="743370E2" w14:textId="77777777" w:rsidR="005A2A94" w:rsidRDefault="005A2A94" w:rsidP="005E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Cuerpo en alfa">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257C1" w14:textId="77777777" w:rsidR="005A2A94" w:rsidRDefault="005A2A94" w:rsidP="005E18E4">
      <w:pPr>
        <w:spacing w:after="0" w:line="240" w:lineRule="auto"/>
      </w:pPr>
      <w:r>
        <w:separator/>
      </w:r>
    </w:p>
  </w:footnote>
  <w:footnote w:type="continuationSeparator" w:id="0">
    <w:p w14:paraId="03AF3F2F" w14:textId="77777777" w:rsidR="005A2A94" w:rsidRDefault="005A2A94" w:rsidP="005E18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DE"/>
    <w:rsid w:val="00090D32"/>
    <w:rsid w:val="000A7086"/>
    <w:rsid w:val="00121373"/>
    <w:rsid w:val="00233085"/>
    <w:rsid w:val="002F11D1"/>
    <w:rsid w:val="0031676C"/>
    <w:rsid w:val="003918C0"/>
    <w:rsid w:val="00392697"/>
    <w:rsid w:val="003A75B4"/>
    <w:rsid w:val="003F3FAF"/>
    <w:rsid w:val="00425997"/>
    <w:rsid w:val="005A2A94"/>
    <w:rsid w:val="005E18E4"/>
    <w:rsid w:val="006C3932"/>
    <w:rsid w:val="00715DF4"/>
    <w:rsid w:val="0077292D"/>
    <w:rsid w:val="008145D1"/>
    <w:rsid w:val="00835256"/>
    <w:rsid w:val="00887860"/>
    <w:rsid w:val="00920C3E"/>
    <w:rsid w:val="0099431E"/>
    <w:rsid w:val="009A061A"/>
    <w:rsid w:val="009D73BD"/>
    <w:rsid w:val="00A00721"/>
    <w:rsid w:val="00A347DE"/>
    <w:rsid w:val="00A7146F"/>
    <w:rsid w:val="00C4690D"/>
    <w:rsid w:val="00C552AD"/>
    <w:rsid w:val="00CB13B3"/>
    <w:rsid w:val="00D34CA4"/>
    <w:rsid w:val="00D3500B"/>
    <w:rsid w:val="00D67E52"/>
    <w:rsid w:val="00FA1B3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17B1"/>
  <w14:defaultImageDpi w14:val="32767"/>
  <w15:chartTrackingRefBased/>
  <w15:docId w15:val="{DFAA651E-66AC-0F4E-B124-C813483B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Cuerpo en alfa"/>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18E4"/>
    <w:pPr>
      <w:spacing w:after="160" w:line="278" w:lineRule="auto"/>
    </w:pPr>
    <w:rPr>
      <w:rFonts w:asciiTheme="minorHAnsi" w:hAnsiTheme="minorHAnsi" w:cstheme="minorBidi"/>
      <w:lang w:val="es-BO"/>
    </w:rPr>
  </w:style>
  <w:style w:type="paragraph" w:styleId="Ttulo1">
    <w:name w:val="heading 1"/>
    <w:basedOn w:val="Normal"/>
    <w:next w:val="Normal"/>
    <w:link w:val="Ttulo1Car"/>
    <w:uiPriority w:val="9"/>
    <w:qFormat/>
    <w:rsid w:val="00A347DE"/>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val="es-ES_tradnl"/>
    </w:rPr>
  </w:style>
  <w:style w:type="paragraph" w:styleId="Ttulo2">
    <w:name w:val="heading 2"/>
    <w:basedOn w:val="Normal"/>
    <w:next w:val="Normal"/>
    <w:link w:val="Ttulo2Car"/>
    <w:uiPriority w:val="9"/>
    <w:semiHidden/>
    <w:unhideWhenUsed/>
    <w:qFormat/>
    <w:rsid w:val="00A347DE"/>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val="es-ES_tradnl"/>
    </w:rPr>
  </w:style>
  <w:style w:type="paragraph" w:styleId="Ttulo3">
    <w:name w:val="heading 3"/>
    <w:basedOn w:val="Normal"/>
    <w:next w:val="Normal"/>
    <w:link w:val="Ttulo3Car"/>
    <w:uiPriority w:val="9"/>
    <w:semiHidden/>
    <w:unhideWhenUsed/>
    <w:qFormat/>
    <w:rsid w:val="00A347DE"/>
    <w:pPr>
      <w:keepNext/>
      <w:keepLines/>
      <w:spacing w:before="160" w:after="80" w:line="240" w:lineRule="auto"/>
      <w:outlineLvl w:val="2"/>
    </w:pPr>
    <w:rPr>
      <w:rFonts w:eastAsiaTheme="majorEastAsia" w:cstheme="majorBidi"/>
      <w:color w:val="0F4761" w:themeColor="accent1" w:themeShade="BF"/>
      <w:sz w:val="28"/>
      <w:szCs w:val="28"/>
      <w:lang w:val="es-ES_tradnl"/>
    </w:rPr>
  </w:style>
  <w:style w:type="paragraph" w:styleId="Ttulo4">
    <w:name w:val="heading 4"/>
    <w:basedOn w:val="Normal"/>
    <w:next w:val="Normal"/>
    <w:link w:val="Ttulo4Car"/>
    <w:uiPriority w:val="9"/>
    <w:semiHidden/>
    <w:unhideWhenUsed/>
    <w:qFormat/>
    <w:rsid w:val="00A347DE"/>
    <w:pPr>
      <w:keepNext/>
      <w:keepLines/>
      <w:spacing w:before="80" w:after="40" w:line="240" w:lineRule="auto"/>
      <w:outlineLvl w:val="3"/>
    </w:pPr>
    <w:rPr>
      <w:rFonts w:eastAsiaTheme="majorEastAsia" w:cstheme="majorBidi"/>
      <w:i/>
      <w:iCs/>
      <w:color w:val="0F4761" w:themeColor="accent1" w:themeShade="BF"/>
      <w:lang w:val="es-ES_tradnl"/>
    </w:rPr>
  </w:style>
  <w:style w:type="paragraph" w:styleId="Ttulo5">
    <w:name w:val="heading 5"/>
    <w:basedOn w:val="Normal"/>
    <w:next w:val="Normal"/>
    <w:link w:val="Ttulo5Car"/>
    <w:uiPriority w:val="9"/>
    <w:semiHidden/>
    <w:unhideWhenUsed/>
    <w:qFormat/>
    <w:rsid w:val="00A347DE"/>
    <w:pPr>
      <w:keepNext/>
      <w:keepLines/>
      <w:spacing w:before="80" w:after="40" w:line="240" w:lineRule="auto"/>
      <w:outlineLvl w:val="4"/>
    </w:pPr>
    <w:rPr>
      <w:rFonts w:eastAsiaTheme="majorEastAsia" w:cstheme="majorBidi"/>
      <w:color w:val="0F4761" w:themeColor="accent1" w:themeShade="BF"/>
      <w:lang w:val="es-ES_tradnl"/>
    </w:rPr>
  </w:style>
  <w:style w:type="paragraph" w:styleId="Ttulo6">
    <w:name w:val="heading 6"/>
    <w:basedOn w:val="Normal"/>
    <w:next w:val="Normal"/>
    <w:link w:val="Ttulo6Car"/>
    <w:uiPriority w:val="9"/>
    <w:semiHidden/>
    <w:unhideWhenUsed/>
    <w:qFormat/>
    <w:rsid w:val="00A347DE"/>
    <w:pPr>
      <w:keepNext/>
      <w:keepLines/>
      <w:spacing w:before="40" w:after="0" w:line="240" w:lineRule="auto"/>
      <w:outlineLvl w:val="5"/>
    </w:pPr>
    <w:rPr>
      <w:rFonts w:eastAsiaTheme="majorEastAsia" w:cstheme="majorBidi"/>
      <w:i/>
      <w:iCs/>
      <w:color w:val="595959" w:themeColor="text1" w:themeTint="A6"/>
      <w:lang w:val="es-ES_tradnl"/>
    </w:rPr>
  </w:style>
  <w:style w:type="paragraph" w:styleId="Ttulo7">
    <w:name w:val="heading 7"/>
    <w:basedOn w:val="Normal"/>
    <w:next w:val="Normal"/>
    <w:link w:val="Ttulo7Car"/>
    <w:uiPriority w:val="9"/>
    <w:semiHidden/>
    <w:unhideWhenUsed/>
    <w:qFormat/>
    <w:rsid w:val="00A347DE"/>
    <w:pPr>
      <w:keepNext/>
      <w:keepLines/>
      <w:spacing w:before="40" w:after="0" w:line="240" w:lineRule="auto"/>
      <w:outlineLvl w:val="6"/>
    </w:pPr>
    <w:rPr>
      <w:rFonts w:eastAsiaTheme="majorEastAsia" w:cstheme="majorBidi"/>
      <w:color w:val="595959" w:themeColor="text1" w:themeTint="A6"/>
      <w:lang w:val="es-ES_tradnl"/>
    </w:rPr>
  </w:style>
  <w:style w:type="paragraph" w:styleId="Ttulo8">
    <w:name w:val="heading 8"/>
    <w:basedOn w:val="Normal"/>
    <w:next w:val="Normal"/>
    <w:link w:val="Ttulo8Car"/>
    <w:uiPriority w:val="9"/>
    <w:semiHidden/>
    <w:unhideWhenUsed/>
    <w:qFormat/>
    <w:rsid w:val="00A347DE"/>
    <w:pPr>
      <w:keepNext/>
      <w:keepLines/>
      <w:spacing w:after="0" w:line="240" w:lineRule="auto"/>
      <w:outlineLvl w:val="7"/>
    </w:pPr>
    <w:rPr>
      <w:rFonts w:eastAsiaTheme="majorEastAsia" w:cstheme="majorBidi"/>
      <w:i/>
      <w:iCs/>
      <w:color w:val="272727" w:themeColor="text1" w:themeTint="D8"/>
      <w:lang w:val="es-ES_tradnl"/>
    </w:rPr>
  </w:style>
  <w:style w:type="paragraph" w:styleId="Ttulo9">
    <w:name w:val="heading 9"/>
    <w:basedOn w:val="Normal"/>
    <w:next w:val="Normal"/>
    <w:link w:val="Ttulo9Car"/>
    <w:uiPriority w:val="9"/>
    <w:semiHidden/>
    <w:unhideWhenUsed/>
    <w:qFormat/>
    <w:rsid w:val="00A347DE"/>
    <w:pPr>
      <w:keepNext/>
      <w:keepLines/>
      <w:spacing w:after="0" w:line="240" w:lineRule="auto"/>
      <w:outlineLvl w:val="8"/>
    </w:pPr>
    <w:rPr>
      <w:rFonts w:eastAsiaTheme="majorEastAsia" w:cstheme="majorBidi"/>
      <w:color w:val="272727" w:themeColor="text1" w:themeTint="D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1">
    <w:name w:val="Estilo1"/>
    <w:basedOn w:val="Tablanormal"/>
    <w:uiPriority w:val="99"/>
    <w:rsid w:val="00D3500B"/>
    <w:tblPr>
      <w:tblBorders>
        <w:top w:val="single" w:sz="4" w:space="0" w:color="auto"/>
        <w:bottom w:val="single" w:sz="4" w:space="0" w:color="auto"/>
      </w:tblBorders>
    </w:tblPr>
  </w:style>
  <w:style w:type="character" w:customStyle="1" w:styleId="Ttulo1Car">
    <w:name w:val="Título 1 Car"/>
    <w:basedOn w:val="Fuentedeprrafopredeter"/>
    <w:link w:val="Ttulo1"/>
    <w:uiPriority w:val="9"/>
    <w:rsid w:val="00A347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47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47D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47D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347D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347D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347D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347D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347D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347DE"/>
    <w:pPr>
      <w:spacing w:after="80" w:line="240" w:lineRule="auto"/>
      <w:contextualSpacing/>
    </w:pPr>
    <w:rPr>
      <w:rFonts w:asciiTheme="majorHAnsi" w:eastAsiaTheme="majorEastAsia" w:hAnsiTheme="majorHAnsi" w:cstheme="majorBidi"/>
      <w:spacing w:val="-10"/>
      <w:kern w:val="28"/>
      <w:sz w:val="56"/>
      <w:szCs w:val="56"/>
      <w:lang w:val="es-ES_tradnl"/>
    </w:rPr>
  </w:style>
  <w:style w:type="character" w:customStyle="1" w:styleId="TtuloCar">
    <w:name w:val="Título Car"/>
    <w:basedOn w:val="Fuentedeprrafopredeter"/>
    <w:link w:val="Ttulo"/>
    <w:uiPriority w:val="10"/>
    <w:rsid w:val="00A347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47DE"/>
    <w:pPr>
      <w:numPr>
        <w:ilvl w:val="1"/>
      </w:numPr>
      <w:spacing w:line="240" w:lineRule="auto"/>
    </w:pPr>
    <w:rPr>
      <w:rFonts w:eastAsiaTheme="majorEastAsia" w:cstheme="majorBidi"/>
      <w:color w:val="595959" w:themeColor="text1" w:themeTint="A6"/>
      <w:spacing w:val="15"/>
      <w:sz w:val="28"/>
      <w:szCs w:val="28"/>
      <w:lang w:val="es-ES_tradnl"/>
    </w:rPr>
  </w:style>
  <w:style w:type="character" w:customStyle="1" w:styleId="SubttuloCar">
    <w:name w:val="Subtítulo Car"/>
    <w:basedOn w:val="Fuentedeprrafopredeter"/>
    <w:link w:val="Subttulo"/>
    <w:uiPriority w:val="11"/>
    <w:rsid w:val="00A347D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347DE"/>
    <w:pPr>
      <w:spacing w:before="160" w:line="240" w:lineRule="auto"/>
      <w:jc w:val="center"/>
    </w:pPr>
    <w:rPr>
      <w:rFonts w:ascii="Garamond" w:hAnsi="Garamond" w:cs="Times New Roman (Cuerpo en alfa"/>
      <w:i/>
      <w:iCs/>
      <w:color w:val="404040" w:themeColor="text1" w:themeTint="BF"/>
      <w:lang w:val="es-ES_tradnl"/>
    </w:rPr>
  </w:style>
  <w:style w:type="character" w:customStyle="1" w:styleId="CitaCar">
    <w:name w:val="Cita Car"/>
    <w:basedOn w:val="Fuentedeprrafopredeter"/>
    <w:link w:val="Cita"/>
    <w:uiPriority w:val="29"/>
    <w:rsid w:val="00A347DE"/>
    <w:rPr>
      <w:i/>
      <w:iCs/>
      <w:color w:val="404040" w:themeColor="text1" w:themeTint="BF"/>
    </w:rPr>
  </w:style>
  <w:style w:type="paragraph" w:styleId="Prrafodelista">
    <w:name w:val="List Paragraph"/>
    <w:basedOn w:val="Normal"/>
    <w:uiPriority w:val="34"/>
    <w:qFormat/>
    <w:rsid w:val="00A347DE"/>
    <w:pPr>
      <w:spacing w:after="0" w:line="240" w:lineRule="auto"/>
      <w:ind w:left="720"/>
      <w:contextualSpacing/>
    </w:pPr>
    <w:rPr>
      <w:rFonts w:ascii="Garamond" w:hAnsi="Garamond" w:cs="Times New Roman (Cuerpo en alfa"/>
      <w:lang w:val="es-ES_tradnl"/>
    </w:rPr>
  </w:style>
  <w:style w:type="character" w:styleId="nfasisintenso">
    <w:name w:val="Intense Emphasis"/>
    <w:basedOn w:val="Fuentedeprrafopredeter"/>
    <w:uiPriority w:val="21"/>
    <w:qFormat/>
    <w:rsid w:val="00A347DE"/>
    <w:rPr>
      <w:i/>
      <w:iCs/>
      <w:color w:val="0F4761" w:themeColor="accent1" w:themeShade="BF"/>
    </w:rPr>
  </w:style>
  <w:style w:type="paragraph" w:styleId="Citadestacada">
    <w:name w:val="Intense Quote"/>
    <w:basedOn w:val="Normal"/>
    <w:next w:val="Normal"/>
    <w:link w:val="CitadestacadaCar"/>
    <w:uiPriority w:val="30"/>
    <w:qFormat/>
    <w:rsid w:val="00A347D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Garamond" w:hAnsi="Garamond" w:cs="Times New Roman (Cuerpo en alfa"/>
      <w:i/>
      <w:iCs/>
      <w:color w:val="0F4761" w:themeColor="accent1" w:themeShade="BF"/>
      <w:lang w:val="es-ES_tradnl"/>
    </w:rPr>
  </w:style>
  <w:style w:type="character" w:customStyle="1" w:styleId="CitadestacadaCar">
    <w:name w:val="Cita destacada Car"/>
    <w:basedOn w:val="Fuentedeprrafopredeter"/>
    <w:link w:val="Citadestacada"/>
    <w:uiPriority w:val="30"/>
    <w:rsid w:val="00A347DE"/>
    <w:rPr>
      <w:i/>
      <w:iCs/>
      <w:color w:val="0F4761" w:themeColor="accent1" w:themeShade="BF"/>
    </w:rPr>
  </w:style>
  <w:style w:type="character" w:styleId="Referenciaintensa">
    <w:name w:val="Intense Reference"/>
    <w:basedOn w:val="Fuentedeprrafopredeter"/>
    <w:uiPriority w:val="32"/>
    <w:qFormat/>
    <w:rsid w:val="00A347DE"/>
    <w:rPr>
      <w:b/>
      <w:bCs/>
      <w:smallCaps/>
      <w:color w:val="0F4761" w:themeColor="accent1" w:themeShade="BF"/>
      <w:spacing w:val="5"/>
    </w:rPr>
  </w:style>
  <w:style w:type="paragraph" w:customStyle="1" w:styleId="Abstract">
    <w:name w:val="Abstract"/>
    <w:basedOn w:val="Normal"/>
    <w:next w:val="Textoindependiente"/>
    <w:qFormat/>
    <w:rsid w:val="00A347DE"/>
    <w:pPr>
      <w:keepNext/>
      <w:keepLines/>
      <w:spacing w:before="100" w:after="300" w:line="240" w:lineRule="auto"/>
    </w:pPr>
    <w:rPr>
      <w:kern w:val="0"/>
      <w:sz w:val="20"/>
      <w:szCs w:val="20"/>
      <w:lang w:val="en-US"/>
      <w14:ligatures w14:val="none"/>
    </w:rPr>
  </w:style>
  <w:style w:type="paragraph" w:styleId="Textoindependiente">
    <w:name w:val="Body Text"/>
    <w:basedOn w:val="Normal"/>
    <w:link w:val="TextoindependienteCar"/>
    <w:uiPriority w:val="99"/>
    <w:semiHidden/>
    <w:unhideWhenUsed/>
    <w:rsid w:val="00A347DE"/>
    <w:pPr>
      <w:spacing w:after="120" w:line="240" w:lineRule="auto"/>
    </w:pPr>
    <w:rPr>
      <w:rFonts w:ascii="Garamond" w:hAnsi="Garamond" w:cs="Times New Roman (Cuerpo en alfa"/>
      <w:lang w:val="es-ES_tradnl"/>
    </w:rPr>
  </w:style>
  <w:style w:type="character" w:customStyle="1" w:styleId="TextoindependienteCar">
    <w:name w:val="Texto independiente Car"/>
    <w:basedOn w:val="Fuentedeprrafopredeter"/>
    <w:link w:val="Textoindependiente"/>
    <w:uiPriority w:val="99"/>
    <w:semiHidden/>
    <w:rsid w:val="00A34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Cen05</b:Tag>
    <b:SourceType>Report</b:SourceType>
    <b:Guid>{866BEE51-9102-475D-81EA-D274D7669699}</b:Guid>
    <b:Author>
      <b:Author>
        <b:Corporate>Centro de Estudios Monetarios Latinoamericanos (CEMLA) y Banco Mundial</b:Corporate>
      </b:Author>
    </b:Author>
    <b:Title>Sistemas de compensación y liquidación de pagos y valores en Bolivia</b:Title>
    <b:Year>2005</b:Year>
    <b:Publisher>Centro de Estudios Monetarios Latinoamericanos y Banco Mundial</b:Publisher>
    <b:City>México, D.F.</b:City>
    <b:RefOrder>1</b:RefOrder>
  </b:Source>
  <b:Source>
    <b:Tag>Jua00</b:Tag>
    <b:SourceType>ConferenceProceedings</b:SourceType>
    <b:Guid>{5BB216DD-D0EB-4F72-8FA6-922FB714A0DD}</b:Guid>
    <b:Title>La banca y el desarrollo</b:Title>
    <b:Year>2000</b:Year>
    <b:Author>
      <b:Author>
        <b:NameList>
          <b:Person>
            <b:Last>Morales Anaya</b:Last>
            <b:Middle>Antonio</b:Middle>
            <b:First>Juan</b:First>
          </b:Person>
        </b:NameList>
      </b:Author>
    </b:Author>
    <b:ConferenceName>La banca y el desarrollo</b:ConferenceName>
    <b:RefOrder>2</b:RefOrder>
  </b:Source>
  <b:Source>
    <b:Tag>Lev02</b:Tag>
    <b:SourceType>JournalArticle</b:SourceType>
    <b:Guid>{6E900371-4009-4EB6-9A63-02888D1DA4EC}</b:Guid>
    <b:Title>Bank-Based or Market-Based Financial Systems: Which Is Better?</b:Title>
    <b:Year>2002</b:Year>
    <b:Author>
      <b:Author>
        <b:NameList>
          <b:Person>
            <b:Last>Levine</b:Last>
            <b:First>Ross</b:First>
          </b:Person>
        </b:NameList>
      </b:Author>
    </b:Author>
    <b:JournalName>Journal of Financial Intermediation</b:JournalName>
    <b:Pages>398-428</b:Pages>
    <b:Volume>11</b:Volume>
    <b:RefOrder>3</b:RefOrder>
  </b:Source>
  <b:Source>
    <b:Tag>Wur00</b:Tag>
    <b:SourceType>JournalArticle</b:SourceType>
    <b:Guid>{82AB77AD-CEA8-45FB-B214-834C515BB61C}</b:Guid>
    <b:Title>Financial markets and the allocation of capital</b:Title>
    <b:JournalName>Journal of Financial Economics</b:JournalName>
    <b:Year>2000</b:Year>
    <b:Pages>187-214</b:Pages>
    <b:Volume>58</b:Volume>
    <b:Issue>1-2</b:Issue>
    <b:Author>
      <b:Author>
        <b:NameList>
          <b:Person>
            <b:Last>Wurgler</b:Last>
            <b:First>Jeffrey</b:First>
          </b:Person>
        </b:NameList>
      </b:Author>
    </b:Author>
    <b:RefOrder>4</b:RefOrder>
  </b:Source>
  <b:Source>
    <b:Tag>Var19</b:Tag>
    <b:SourceType>BookSection</b:SourceType>
    <b:Guid>{45346F11-1E13-43D3-B229-FE23F492A85E}</b:Guid>
    <b:Title>Intermediación financiera y crecimiento económico</b:Title>
    <b:Year>2019</b:Year>
    <b:Pages>401-426</b:Pages>
    <b:Author>
      <b:Author>
        <b:NameList>
          <b:Person>
            <b:Last>Vargas Sanchez</b:Last>
            <b:First>Alejandro</b:First>
          </b:Person>
        </b:NameList>
      </b:Author>
    </b:Author>
    <b:BookTitle>¿Hacia la transformación de la economía? 18 miradas para un diagnóstico de crecimiento en Bolivia</b:BookTitle>
    <b:City>La Paz, Bolivia</b:City>
    <b:Publisher>Friedrich-Ebert-Stiftung (FES Bolivia)</b:Publisher>
    <b:RefOrder>5</b:RefOrder>
  </b:Source>
  <b:Source>
    <b:Tag>Mis18</b:Tag>
    <b:SourceType>Book</b:SourceType>
    <b:Guid>{EB0AF555-B15B-45BD-93BA-EFBB0B38A147}</b:Guid>
    <b:Title>Financial Markets and Institutions</b:Title>
    <b:Year>2018</b:Year>
    <b:City>Harlow, England</b:City>
    <b:Publisher>Pearson Education Limited</b:Publisher>
    <b:Author>
      <b:Author>
        <b:NameList>
          <b:Person>
            <b:Last>Mishkin</b:Last>
            <b:Middle>S.</b:Middle>
            <b:First>Frederic</b:First>
          </b:Person>
          <b:Person>
            <b:Last>Eakings</b:Last>
            <b:Middle>G.</b:Middle>
            <b:First>Stanley</b:First>
          </b:Person>
        </b:NameList>
      </b:Author>
    </b:Author>
    <b:RefOrder>6</b:RefOrder>
  </b:Source>
  <b:Source>
    <b:Tag>Ros22</b:Tag>
    <b:SourceType>Book</b:SourceType>
    <b:Guid>{E8F3EF41-3226-4720-93CC-269E3B90907B}</b:Guid>
    <b:Title>Corporate Finance</b:Title>
    <b:Year>2022</b:Year>
    <b:City>New York</b:City>
    <b:Publisher>McGraw Hill LLC</b:Publisher>
    <b:Author>
      <b:Author>
        <b:NameList>
          <b:Person>
            <b:Last>Ross</b:Last>
            <b:Middle>A.</b:Middle>
            <b:First>Stephen</b:First>
          </b:Person>
          <b:Person>
            <b:Last>Westerfield</b:Last>
            <b:Middle>W.</b:Middle>
            <b:First>Randolph</b:First>
          </b:Person>
          <b:Person>
            <b:Last>Jaffe</b:Last>
            <b:Middle>F.</b:Middle>
            <b:First>Jeffrey</b:First>
          </b:Person>
          <b:Person>
            <b:Last>Jordan</b:Last>
            <b:Middle>D.</b:Middle>
            <b:First>Bradford</b:First>
          </b:Person>
        </b:NameList>
      </b:Author>
    </b:Author>
    <b:RefOrder>7</b:RefOrder>
  </b:Source>
  <b:Source>
    <b:Tag>Dia84</b:Tag>
    <b:SourceType>JournalArticle</b:SourceType>
    <b:Guid>{7F62FBAA-8EBC-4345-A184-86700596DC04}</b:Guid>
    <b:Title>Financial Intermediation and Delegated Monitoring</b:Title>
    <b:Year>1984</b:Year>
    <b:JournalName>Review of Economic Studies</b:JournalName>
    <b:Pages>393-414</b:Pages>
    <b:Volume>51</b:Volume>
    <b:Issue>3</b:Issue>
    <b:Author>
      <b:Author>
        <b:NameList>
          <b:Person>
            <b:Last>Diamond</b:Last>
            <b:Middle>W.</b:Middle>
            <b:First>Douglas</b:First>
          </b:Person>
        </b:NameList>
      </b:Author>
    </b:Author>
    <b:RefOrder>8</b:RefOrder>
  </b:Source>
  <b:Source>
    <b:Tag>Iwa23</b:Tag>
    <b:SourceType>JournalArticle</b:SourceType>
    <b:Guid>{3AB42581-597B-4150-85D9-C18606119113}</b:Guid>
    <b:Title>Financial intermediation versus direct financing: A meta-analytic comparison of the growth-enhancing effect</b:Title>
    <b:JournalName>Review of Economics and Institutions</b:JournalName>
    <b:Year>2023</b:Year>
    <b:Pages>Article 3</b:Pages>
    <b:Volume>14</b:Volume>
    <b:Issue>1/2</b:Issue>
    <b:Author>
      <b:Author>
        <b:NameList>
          <b:Person>
            <b:Last>Iwasaki</b:Last>
            <b:First>Ichiro</b:First>
          </b:Person>
          <b:Person>
            <b:Last>Ono</b:Last>
            <b:First>Shigeki</b:First>
          </b:Person>
        </b:NameList>
      </b:Author>
    </b:Author>
    <b:RefOrder>9</b:RefOrder>
  </b:Source>
  <b:Source>
    <b:Tag>Boo97</b:Tag>
    <b:SourceType>JournalArticle</b:SourceType>
    <b:Guid>{CB4BD62B-09E9-4155-8CF0-8D7B160DF962}</b:Guid>
    <b:Title>Financial System Architecture</b:Title>
    <b:JournalName>The Review of Financial Studies</b:JournalName>
    <b:Year>1997</b:Year>
    <b:Pages>693-733</b:Pages>
    <b:Volume>10</b:Volume>
    <b:Issue>3</b:Issue>
    <b:Author>
      <b:Author>
        <b:NameList>
          <b:Person>
            <b:Last>Boot</b:Last>
            <b:Middle>W.A.</b:Middle>
            <b:First>Arnoud</b:First>
          </b:Person>
          <b:Person>
            <b:Last>Thakor</b:Last>
            <b:Middle>V.</b:Middle>
            <b:First>Anjan</b:First>
          </b:Person>
        </b:NameList>
      </b:Author>
    </b:Author>
    <b:RefOrder>10</b:RefOrder>
  </b:Source>
  <b:Source>
    <b:Tag>Mer95</b:Tag>
    <b:SourceType>JournalArticle</b:SourceType>
    <b:Guid>{8B40E757-3A3E-4263-AD38-AFEC78E51834}</b:Guid>
    <b:Title>A Conceptual Framework for Analyzing the Financial Environment</b:Title>
    <b:JournalName>Journal of Applied Corporate Finance</b:JournalName>
    <b:Year>1995</b:Year>
    <b:Pages>62-74</b:Pages>
    <b:Volume>7</b:Volume>
    <b:Issue>4</b:Issue>
    <b:Author>
      <b:Author>
        <b:NameList>
          <b:Person>
            <b:Last>Merton</b:Last>
            <b:Middle>C.</b:Middle>
            <b:First>Robert</b:First>
          </b:Person>
          <b:Person>
            <b:Last>Bodie</b:Last>
            <b:First>Zvi</b:First>
          </b:Person>
        </b:NameList>
      </b:Author>
    </b:Author>
    <b:RefOrder>11</b:RefOrder>
  </b:Source>
  <b:Source>
    <b:Tag>Bes19</b:Tag>
    <b:SourceType>JournalArticle</b:SourceType>
    <b:Guid>{5740CB78-9916-41AB-B223-A748C9E8C807}</b:Guid>
    <b:Title>A Survey of the Microstructure of Fixed-Income Markets</b:Title>
    <b:JournalName>Journal of Financial and Quantitative Analysis</b:JournalName>
    <b:Year>2019</b:Year>
    <b:Author>
      <b:Author>
        <b:NameList>
          <b:Person>
            <b:Last>Bessembinder</b:Last>
            <b:First>Hendrik</b:First>
          </b:Person>
          <b:Person>
            <b:Last>Spatt</b:Last>
            <b:First>Chester</b:First>
          </b:Person>
          <b:Person>
            <b:Last>Venkataraman</b:Last>
            <b:First>Kumar</b:First>
          </b:Person>
        </b:NameList>
      </b:Author>
    </b:Author>
    <b:RefOrder>12</b:RefOrder>
  </b:Source>
  <b:Source>
    <b:Tag>Cha99</b:Tag>
    <b:SourceType>JournalArticle</b:SourceType>
    <b:Guid>{7841E7A2-18CB-4574-845F-03CF816195D5}</b:Guid>
    <b:Title>Liquidity in U.S. Fixed Income Markets: A Comparison of the Bid-Ask Spread in Corporate, Government and Municipal Bond Markets</b:Title>
    <b:JournalName>Journal of Financial Economics</b:JournalName>
    <b:Year>1999</b:Year>
    <b:Pages>189-213</b:Pages>
    <b:Volume>62</b:Volume>
    <b:Issue>2-3</b:Issue>
    <b:Author>
      <b:Author>
        <b:NameList>
          <b:Person>
            <b:Last>Chakravarty</b:Last>
            <b:First>Sugato</b:First>
          </b:Person>
          <b:Person>
            <b:Last>Sarkar</b:Last>
            <b:First>Asani</b:First>
          </b:Person>
        </b:NameList>
      </b:Author>
    </b:Author>
    <b:RefOrder>13</b:RefOrder>
  </b:Source>
  <b:Source>
    <b:Tag>Adr16</b:Tag>
    <b:SourceType>Report</b:SourceType>
    <b:Guid>{07590BDA-6210-4ACA-9412-E532C7177B7C}</b:Guid>
    <b:Title>Market Liquidity after the Financial Crisis</b:Title>
    <b:Year>2016</b:Year>
    <b:Publisher>Federal Reserve Bank of New York</b:Publisher>
    <b:City>New York</b:City>
    <b:Author>
      <b:Author>
        <b:NameList>
          <b:Person>
            <b:Last>Adrian</b:Last>
            <b:First>Tobias</b:First>
          </b:Person>
          <b:Person>
            <b:Last>Fleming</b:Last>
            <b:First>Michael</b:First>
          </b:Person>
          <b:Person>
            <b:Last>Shachar</b:Last>
            <b:First>Or</b:First>
          </b:Person>
          <b:Person>
            <b:Last>Vogt</b:Last>
            <b:First>Erik</b:First>
          </b:Person>
        </b:NameList>
      </b:Author>
    </b:Author>
    <b:RefOrder>14</b:RefOrder>
  </b:Source>
  <b:Source>
    <b:Tag>Adr11</b:Tag>
    <b:SourceType>Report</b:SourceType>
    <b:Guid>{99FD97DD-5CF9-4357-BF6A-0331758EE517}</b:Guid>
    <b:Title>Repo and Securities Lending</b:Title>
    <b:Year>2011</b:Year>
    <b:Publisher>Federal Reserve Bank of New York</b:Publisher>
    <b:City>New York</b:City>
    <b:Author>
      <b:Author>
        <b:NameList>
          <b:Person>
            <b:Last>Adrian</b:Last>
            <b:First>Tobias</b:First>
          </b:Person>
          <b:Person>
            <b:Last>Begalle</b:Last>
            <b:First>Brian</b:First>
          </b:Person>
          <b:Person>
            <b:Last>Copeland</b:Last>
            <b:First>Adam</b:First>
          </b:Person>
          <b:Person>
            <b:Last>Martin</b:Last>
            <b:First>Antoine</b:First>
          </b:Person>
        </b:NameList>
      </b:Author>
    </b:Author>
    <b:RefOrder>15</b:RefOrder>
  </b:Source>
  <b:Source>
    <b:Tag>CFA24</b:Tag>
    <b:SourceType>Book</b:SourceType>
    <b:Guid>{75CB430F-8809-4EE4-A870-30BD5F96DEE9}</b:Guid>
    <b:Title>CFA Program Curriculum 2025, Level I, Volume 6: Fixed Income</b:Title>
    <b:Year>2024</b:Year>
    <b:Publisher>CFA Institute</b:Publisher>
    <b:City>Charlottesville, VA</b:City>
    <b:Author>
      <b:Author>
        <b:Corporate>CFA Institute</b:Corporate>
      </b:Author>
    </b:Author>
    <b:RefOrder>16</b:RefOrder>
  </b:Source>
  <b:Source>
    <b:Tag>Com17</b:Tag>
    <b:SourceType>Report</b:SourceType>
    <b:Guid>{3B25F621-89E3-44D2-8400-598B630DCB04}</b:Guid>
    <b:Title>Repo Market Functioning</b:Title>
    <b:Year>2017</b:Year>
    <b:City>Basel, Switzerland</b:City>
    <b:Publisher>Bank for International Settlements (BIS)</b:Publisher>
    <b:Author>
      <b:Author>
        <b:Corporate>Committee on the Global Financial System (CGFS)</b:Corporate>
      </b:Author>
    </b:Author>
    <b:RefOrder>17</b:RefOrder>
  </b:Source>
  <b:Source>
    <b:Tag>Adr10</b:Tag>
    <b:SourceType>JournalArticle</b:SourceType>
    <b:Guid>{A8A96E6A-5508-4760-9FD2-8454786AE1B3}</b:Guid>
    <b:Title>Liquidity and leverage</b:Title>
    <b:Year>2010</b:Year>
    <b:JournalName>Journal of Financial Intermediation</b:JournalName>
    <b:Pages>418-437</b:Pages>
    <b:Volume>19</b:Volume>
    <b:Issue>3</b:Issue>
    <b:Author>
      <b:Author>
        <b:NameList>
          <b:Person>
            <b:Last>Adrian</b:Last>
            <b:First>Tobias</b:First>
          </b:Person>
          <b:Person>
            <b:Last>Shin</b:Last>
            <b:First>Hyun Song</b:First>
          </b:Person>
        </b:NameList>
      </b:Author>
    </b:Author>
    <b:RefOrder>18</b:RefOrder>
  </b:Source>
  <b:Source>
    <b:Tag>Hem25</b:Tag>
    <b:SourceType>Report</b:SourceType>
    <b:Guid>{06414207-F173-4204-B6A7-9D95197E9075}</b:Guid>
    <b:Title>The $12 Trillion US Repo Market: Insights from a Novel Panel of Intermediaries</b:Title>
    <b:Year>2025</b:Year>
    <b:Publisher>Board of Governors of the Federal Reserve System</b:Publisher>
    <b:Author>
      <b:Author>
        <b:NameList>
          <b:Person>
            <b:Last>Hempel</b:Last>
            <b:Middle>R.</b:Middle>
            <b:First>Sam</b:First>
          </b:Person>
          <b:Person>
            <b:Last>Kahn</b:Last>
            <b:First>Jay</b:First>
          </b:Person>
          <b:Person>
            <b:Last>Shepard</b:Last>
            <b:First>Julia</b:First>
          </b:Person>
        </b:NameList>
      </b:Author>
    </b:Author>
    <b:RefOrder>19</b:RefOrder>
  </b:Source>
  <b:Source>
    <b:Tag>Bak15</b:Tag>
    <b:SourceType>Report</b:SourceType>
    <b:Guid>{690E7FEB-8FED-4C76-B325-23E6DF6FF64E}</b:Guid>
    <b:Title>Reference Guide to U.S. Repo and Securities Lending Markets</b:Title>
    <b:Year>2015</b:Year>
    <b:Publisher>Federal Reserve Bank of New York</b:Publisher>
    <b:City>New York</b:City>
    <b:Author>
      <b:Author>
        <b:NameList>
          <b:Person>
            <b:Last>Baklanova</b:Last>
            <b:First>Viktoria</b:First>
          </b:Person>
          <b:Person>
            <b:Last>Copeland</b:Last>
            <b:First>Adam</b:First>
          </b:Person>
          <b:Person>
            <b:Last>McCaughrin</b:Last>
            <b:First>Rebecca</b:First>
          </b:Person>
        </b:NameList>
      </b:Author>
    </b:Author>
    <b:RefOrder>20</b:RefOrder>
  </b:Source>
  <b:Source>
    <b:Tag>Fab14</b:Tag>
    <b:SourceType>Book</b:SourceType>
    <b:Guid>{3846B2E6-F83F-4EB2-A3B4-B873D5A51E19}</b:Guid>
    <b:Title>Foundations of Financial Markets and Institutions</b:Title>
    <b:Year>2014</b:Year>
    <b:City>Harlow, England</b:City>
    <b:Publisher>Pearson Education Limited</b:Publisher>
    <b:Author>
      <b:Author>
        <b:NameList>
          <b:Person>
            <b:Last>Fabozzi</b:Last>
            <b:Middle>J.</b:Middle>
            <b:First>Frank</b:First>
          </b:Person>
          <b:Person>
            <b:Last>Modigliani</b:Last>
            <b:First>Franco</b:First>
          </b:Person>
          <b:Person>
            <b:Last>Jones</b:Last>
            <b:Middle>J.</b:Middle>
            <b:First>Frank</b:First>
          </b:Person>
        </b:NameList>
      </b:Author>
    </b:Author>
    <b:RefOrder>21</b:RefOrder>
  </b:Source>
  <b:Source>
    <b:Tag>Gor09</b:Tag>
    <b:SourceType>Report</b:SourceType>
    <b:Guid>{2EC509B4-0064-41C2-A7D3-1878F3854CE2}</b:Guid>
    <b:Title>Securitized Banking and the Run on Repo</b:Title>
    <b:Year>2009</b:Year>
    <b:Publisher>National Bureau of Economic Research (NBER)</b:Publisher>
    <b:Author>
      <b:Author>
        <b:NameList>
          <b:Person>
            <b:Last>Gorton</b:Last>
            <b:Middle>B.</b:Middle>
            <b:First>Gary</b:First>
          </b:Person>
          <b:Person>
            <b:Last>Metrick</b:Last>
            <b:First>Andrew</b:First>
          </b:Person>
        </b:NameList>
      </b:Author>
    </b:Author>
    <b:RefOrder>22</b:RefOrder>
  </b:Source>
  <b:Source>
    <b:Tag>Con98</b:Tag>
    <b:SourceType>Report</b:SourceType>
    <b:Guid>{C8A79AEA-19E1-47A8-9799-204F20FA8EC6}</b:Guid>
    <b:Title>Ley del Mercado de Valores, Ley N.º 1834</b:Title>
    <b:Year>1998</b:Year>
    <b:City>La Paz, Bolivia</b:City>
    <b:Publisher>Gaceta Oficial del Estado Plurinacional de Bolivia</b:Publisher>
    <b:Author>
      <b:Author>
        <b:Corporate>Congreso Nacional de Bolivia</b:Corporate>
      </b:Author>
    </b:Author>
    <b:RefOrder>23</b:RefOrder>
  </b:Source>
  <b:Source>
    <b:Tag>Aut25</b:Tag>
    <b:SourceType>Report</b:SourceType>
    <b:Guid>{E4164659-DFC5-432D-BB79-897D7E2BA983}</b:Guid>
    <b:Author>
      <b:Author>
        <b:Corporate>Autoridad de Supervisión del Sistema Financiero (ASFI)</b:Corporate>
      </b:Author>
    </b:Author>
    <b:Title>Recopilación de Normas para el Mercado de Valores, Libro 4°, Título III - Reglamento para Agencias de Bolsa</b:Title>
    <b:Year>2025</b:Year>
    <b:Publisher>Autoridad de Supervisión del Sistema Financiero</b:Publisher>
    <b:RefOrder>24</b:RefOrder>
  </b:Source>
  <b:Source>
    <b:Tag>Aut251</b:Tag>
    <b:SourceType>Report</b:SourceType>
    <b:Guid>{2F45DB38-3422-4A3A-81FD-83E960B469F6}</b:Guid>
    <b:Author>
      <b:Author>
        <b:Corporate>Autoridad de Supervisión del Sistema Financiero (ASFI)</b:Corporate>
      </b:Author>
    </b:Author>
    <b:Title>Recopilación de Normas para el Mercado de Valores, Libro 6°, Título I - Reglamento de Entidades de Depósito de Valores, Compensación y Liquidación de Valores</b:Title>
    <b:Year>2025</b:Year>
    <b:Publisher>Autoridad de Supervisión del Sistema Financiero</b:Publisher>
    <b:City>La Paz, Bolivia</b:City>
    <b:RefOrder>25</b:RefOrder>
  </b:Source>
  <b:Source>
    <b:Tag>Aut252</b:Tag>
    <b:SourceType>Report</b:SourceType>
    <b:Guid>{7A6E8A82-3AE6-427E-8877-B1D0554ECD20}</b:Guid>
    <b:Author>
      <b:Author>
        <b:Corporate>Autoridad de Supervisión del Sistema Financiero (ASFI)</b:Corporate>
      </b:Author>
    </b:Author>
    <b:Title>Recopilación de Normas para el Mercado de Valores, Libro 4°, Título IV - Reglamento para Operaciones de Reporto</b:Title>
    <b:Year>2025</b:Year>
    <b:Publisher>Autoridad de Supervisión del Sistema Financiero</b:Publisher>
    <b:City>La Paz, Bolivia</b:City>
    <b:RefOrder>26</b:RefOrder>
  </b:Source>
  <b:Source>
    <b:Tag>Bol23</b:Tag>
    <b:SourceType>Report</b:SourceType>
    <b:Guid>{85CB68A0-B79E-426C-83E3-888183ACA95B}</b:Guid>
    <b:Title>Resolución Normativa de Directorio No. 01/2023: Implementación del Mecanismo de Negociación de Reporto en Subasta Simple en Piso de Negociación</b:Title>
    <b:Year>2023</b:Year>
    <b:Author>
      <b:Author>
        <b:Corporate>Bolsa Boliviana de Valores S.A.</b:Corporate>
      </b:Author>
    </b:Author>
    <b:Publisher>Bolsa Boliviana de Valores S.A.</b:Publisher>
    <b:City>La Paz, Bolivia</b:City>
    <b:RefOrder>27</b:RefOrder>
  </b:Source>
  <b:Source>
    <b:Tag>CFA241</b:Tag>
    <b:SourceType>Report</b:SourceType>
    <b:Guid>{6744E1A8-62E3-451A-B0B0-D66C424D3557}</b:Guid>
    <b:Author>
      <b:Author>
        <b:Corporate>CFA Institute</b:Corporate>
      </b:Author>
    </b:Author>
    <b:Title>Code of Ethics and Standards of Professional Conduct</b:Title>
    <b:Year>2024</b:Year>
    <b:Publisher>CFA Institute</b:Publisher>
    <b:URL>https://www.cfainstitute.org/</b:URL>
    <b:RefOrder>28</b:RefOrder>
  </b:Source>
  <b:Source>
    <b:Tag>ELD23</b:Tag>
    <b:SourceType>ArticleInAPeriodical</b:SourceType>
    <b:Guid>{15483FEA-32C1-4BF0-AE17-3701FB507848}</b:Guid>
    <b:Author>
      <b:Author>
        <b:Corporate>EL DEBER</b:Corporate>
      </b:Author>
    </b:Author>
    <b:Title>Detectan perjuicio económico por más de Bs 1.000 millones en el mercado de valores</b:Title>
    <b:PeriodicalTitle>EL DEBER</b:PeriodicalTitle>
    <b:Year>2023</b:Year>
    <b:Month>abril</b:Month>
    <b:Day>27</b:Day>
    <b:RefOrder>29</b:RefOrder>
  </b:Source>
  <b:Source>
    <b:Tag>Brú23</b:Tag>
    <b:SourceType>ArticleInAPeriodical</b:SourceType>
    <b:Guid>{3A5A430E-BBE8-4CBB-A823-6BD36724F933}</b:Guid>
    <b:Author>
      <b:Author>
        <b:Corporate>Brújula Digital</b:Corporate>
      </b:Author>
    </b:Author>
    <b:Title>Una serie de incumplimiento de obligaciones sacude la Bolsa de Valores</b:Title>
    <b:PeriodicalTitle>Brújula Digital</b:PeriodicalTitle>
    <b:Year>2023</b:Year>
    <b:Month>mayo</b:Month>
    <b:Day>17</b:Day>
    <b:RefOrder>30</b:RefOrder>
  </b:Source>
  <b:Source>
    <b:Tag>Vas23</b:Tag>
    <b:SourceType>InternetSite</b:SourceType>
    <b:Guid>{39317B81-7821-4515-B86C-6B59831055BE}</b:Guid>
    <b:Title>La reducción de liquidez en el sistema financiero se acentúa por la falta de dólares y el caso Fassil</b:Title>
    <b:PeriodicalTitle>El Deber</b:PeriodicalTitle>
    <b:Year>2023</b:Year>
    <b:Month>mayo</b:Month>
    <b:Day>14</b:Day>
    <b:Author>
      <b:Author>
        <b:NameList>
          <b:Person>
            <b:Last>Vasquez</b:Last>
            <b:First>Walter</b:First>
          </b:Person>
        </b:NameList>
      </b:Author>
    </b:Author>
    <b:ProductionCompany>El Deber</b:ProductionCompany>
    <b:YearAccessed>2025</b:YearAccessed>
    <b:MonthAccessed>septiembre</b:MonthAccessed>
    <b:DayAccessed>25</b:DayAccessed>
    <b:URL>https://eldeber.com.bo/economia/la-reduccion-de-liquidez-en-el-sistema-financiero-se-acentua-por-la-falta-de-dolares-y-el-caso-fassi_324997</b:URL>
    <b:RefOrder>31</b:RefOrder>
  </b:Source>
  <b:Source>
    <b:Tag>Lev91</b:Tag>
    <b:SourceType>JournalArticle</b:SourceType>
    <b:Guid>{101C51E9-614C-4114-A136-05A5417A6806}</b:Guid>
    <b:Title>Stock Markets, Growth, and Tax Policy</b:Title>
    <b:JournalName>The Journal of Finance</b:JournalName>
    <b:Year>1991</b:Year>
    <b:Pages>1445-1465</b:Pages>
    <b:Volume>46</b:Volume>
    <b:Issue>4</b:Issue>
    <b:Author>
      <b:Author>
        <b:NameList>
          <b:Person>
            <b:Last>Levine</b:Last>
            <b:First>Ross</b:First>
          </b:Person>
        </b:NameList>
      </b:Author>
    </b:Author>
    <b:RefOrder>37</b:RefOrder>
  </b:Source>
  <b:Source>
    <b:Tag>Wru00</b:Tag>
    <b:SourceType>JournalArticle</b:SourceType>
    <b:Guid>{3603DCED-54F3-4210-AF1A-329062BF602E}</b:Guid>
    <b:Title>Financial markets and the allocation of capital</b:Title>
    <b:JournalName>Journal of Financial Economics</b:JournalName>
    <b:Year>2000</b:Year>
    <b:Pages>187-214</b:Pages>
    <b:Volume>58</b:Volume>
    <b:Issue>1-2</b:Issue>
    <b:Author>
      <b:Author>
        <b:NameList>
          <b:Person>
            <b:Last>Wrugler</b:Last>
            <b:First>Jeffrey</b:First>
          </b:Person>
        </b:NameList>
      </b:Author>
    </b:Author>
    <b:RefOrder>38</b:RefOrder>
  </b:Source>
  <b:Source>
    <b:Tag>Bak21</b:Tag>
    <b:SourceType>Report</b:SourceType>
    <b:Guid>{4A81387E-CFCF-4774-B382-19420915A634}</b:Guid>
    <b:Title>Money Market Funds and the Repo Market</b:Title>
    <b:Year>2021</b:Year>
    <b:Publisher>U.S. Securities and Exchange Commission (Division of Investment Management – Analytics Office)</b:Publisher>
    <b:Author>
      <b:Author>
        <b:NameList>
          <b:Person>
            <b:Last>Baklanova</b:Last>
            <b:First>Viktoria</b:First>
          </b:Person>
          <b:Person>
            <b:Last>Kuznits</b:Last>
            <b:First>Isaac</b:First>
          </b:Person>
          <b:Person>
            <b:Last>Tatum</b:Last>
            <b:First>Trevor</b:First>
          </b:Person>
        </b:NameList>
      </b:Author>
    </b:Author>
    <b:RefOrder>32</b:RefOrder>
  </b:Source>
  <b:Source>
    <b:Tag>Com25</b:Tag>
    <b:SourceType>Report</b:SourceType>
    <b:Guid>{6B0E854D-8CCF-4369-A828-94706C355D71}</b:Guid>
    <b:Title>European Repo Market Survey. Number 48 – Conducted December 2024</b:Title>
    <b:Year>2025</b:Year>
    <b:Publisher>International Capital Market Association (ICMA)</b:Publisher>
    <b:City>Zurich</b:City>
    <b:Author>
      <b:Author>
        <b:NameList>
          <b:Person>
            <b:Last>Comotto</b:Last>
            <b:First>Richard</b:First>
          </b:Person>
        </b:NameList>
      </b:Author>
    </b:Author>
    <b:RefOrder>33</b:RefOrder>
  </b:Source>
  <b:Source>
    <b:Tag>Com24</b:Tag>
    <b:SourceType>Report</b:SourceType>
    <b:Guid>{6AAD325B-050D-45EE-B052-4E38685CB9C8}</b:Guid>
    <b:Title>Asia-Pacific Repo Market Survey (June 2023)</b:Title>
    <b:Year>2024</b:Year>
    <b:Publisher>International Capital Market Association (ICMA) y Asia Securities Industry and Financial Markets Association (ASIFMA)</b:Publisher>
    <b:City>Zurich y Hong Kong</b:City>
    <b:Author>
      <b:Author>
        <b:NameList>
          <b:Person>
            <b:Last>Comotto</b:Last>
            <b:First>Richard</b:First>
          </b:Person>
        </b:NameList>
      </b:Author>
    </b:Author>
    <b:RefOrder>34</b:RefOrder>
  </b:Source>
  <b:Source>
    <b:Tag>Cen18</b:Tag>
    <b:SourceType>Report</b:SourceType>
    <b:Guid>{6BD85DC5-20A0-4964-93BA-0401A38D0E71}</b:Guid>
    <b:Author>
      <b:Author>
        <b:Corporate>Centro de Estudios Monetarios Latinoamericanos (CEMLA)</b:Corporate>
      </b:Author>
    </b:Author>
    <b:Title>Marco de operaciones de mercado de la banca central de América Latina y el Caribe: Compendio de prácticas</b:Title>
    <b:Year>2018</b:Year>
    <b:Publisher>CEMLA</b:Publisher>
    <b:City>México</b:City>
    <b:RefOrder>35</b:RefOrder>
  </b:Source>
  <b:Source>
    <b:Tag>Usi17</b:Tag>
    <b:SourceType>JournalArticle</b:SourceType>
    <b:Guid>{EDB9D663-33FC-4564-913C-A5C6E4FFD08A}</b:Guid>
    <b:Title>The Repo Market in Mexico: Empirics and stylized facts</b:Title>
    <b:Year>2017</b:Year>
    <b:Author>
      <b:Author>
        <b:NameList>
          <b:Person>
            <b:Last>Usi-López</b:Last>
            <b:First>F.</b:First>
          </b:Person>
          <b:Person>
            <b:Last>Martínez-Jaramill</b:Last>
            <b:First>S.</b:First>
          </b:Person>
          <b:Person>
            <b:Last>López-Gallo</b:Last>
          </b:Person>
        </b:NameList>
      </b:Author>
    </b:Author>
    <b:JournalName>Neurocomputing</b:JournalName>
    <b:Pages>2-19</b:Pages>
    <b:Volume>264</b:Volume>
    <b:RefOrder>36</b:RefOrder>
  </b:Source>
  <b:Source>
    <b:Tag>Glo23</b:Tag>
    <b:SourceType>Book</b:SourceType>
    <b:Guid>{2AA5ED3F-9BC8-40B8-B0B9-7DD4599D0BEF}</b:Guid>
    <b:Author>
      <b:Author>
        <b:Corporate>Global Association of Risk Professionals (GARP)</b:Corporate>
      </b:Author>
    </b:Author>
    <b:Title>FRM Part I: Financial Markets and Products, 2023 Edition</b:Title>
    <b:Year>2023</b:Year>
    <b:City>New Jersey</b:City>
    <b:Publisher>Global Association of Risk Professionals</b:Publisher>
    <b:RefOrder>39</b:RefOrder>
  </b:Source>
  <b:Source>
    <b:Tag>Glo231</b:Tag>
    <b:SourceType>Book</b:SourceType>
    <b:Guid>{2A139B85-31F4-4C6C-9DB5-F22EB0576261}</b:Guid>
    <b:Author>
      <b:Author>
        <b:Corporate>Global Association of Risk Professionals (GARP)</b:Corporate>
      </b:Author>
    </b:Author>
    <b:Title>FRM Part I: Valuation and Risk Models, 2023 Edition</b:Title>
    <b:Year>2023</b:Year>
    <b:City>New Jersey</b:City>
    <b:Publisher>Global Association of Risk Professionals</b:Publisher>
    <b:RefOrder>40</b:RefOrder>
  </b:Source>
  <b:Source>
    <b:Tag>Wor25</b:Tag>
    <b:SourceType>DocumentFromInternetSite</b:SourceType>
    <b:Guid>{22DEBABF-2DCF-4410-B33E-9C0404AFD58A}</b:Guid>
    <b:Title>Macro Poverty Outlook: Bolivia</b:Title>
    <b:Year>2025</b:Year>
    <b:Author>
      <b:Author>
        <b:Corporate>World Bank</b:Corporate>
      </b:Author>
    </b:Author>
    <b:Month>October</b:Month>
    <b:URL>https://thedocs.worldbank.org/en/doc/e408a7e21ba62d843bdd90dc37e61b57-0500032021/related/mpo-bol.pdf</b:URL>
    <b:RefOrder>41</b:RefOrder>
  </b:Source>
  <b:Source>
    <b:Tag>Ban25</b:Tag>
    <b:SourceType>InternetSite</b:SourceType>
    <b:Guid>{4194048B-8FC6-4BDD-BB8B-DB35266A1EEB}</b:Guid>
    <b:Title>Indicadores de inflación</b:Title>
    <b:Year>2025</b:Year>
    <b:YearAccessed>2025</b:YearAccessed>
    <b:MonthAccessed>October</b:MonthAccessed>
    <b:URL>https://www.bcb.gob.bo/?q=indicadores_inflacion</b:URL>
    <b:Author>
      <b:Author>
        <b:Corporate>Banco Central de Bolivia</b:Corporate>
      </b:Author>
    </b:Author>
    <b:InternetSiteTitle>BCB – Estadísticas</b:InternetSiteTitle>
    <b:RefOrder>42</b:RefOrder>
  </b:Source>
  <b:Source>
    <b:Tag>Swi25</b:Tag>
    <b:SourceType>InternetSite</b:SourceType>
    <b:Guid>{81BFCEE4-B2F3-4402-9410-EEA5C18B7AFD}</b:Guid>
    <b:Title>Reservas internacionales de Bolivia llegaron a 1.976 millones de dólares hasta diciembre</b:Title>
    <b:Year>2025</b:Year>
    <b:Month>January</b:Month>
    <b:Day>2</b:Day>
    <b:URL>https://www.swissinfo.ch/spa/reservas-internacionales-de-bolivia-llegaron-a-1.976-millones-de-d%C3%B3lares-hasta-diciembre/88668210</b:URL>
    <b:Author>
      <b:Author>
        <b:Corporate>Swissinfo</b:Corporate>
      </b:Author>
    </b:Author>
    <b:InternetSiteTitle>swissinfo.ch</b:InternetSiteTitle>
    <b:RefOrder>43</b:RefOrder>
  </b:Source>
  <b:Source>
    <b:Tag>Ban251</b:Tag>
    <b:SourceType>Report</b:SourceType>
    <b:Guid>{FEFE7692-32B8-4727-9044-BBA503D67B97}</b:Guid>
    <b:Title>Informe de Estabilidad Financiera – Julio 2025</b:Title>
    <b:Year>2025</b:Year>
    <b:Author>
      <b:Author>
        <b:Corporate>Banco Central de Bolivia</b:Corporate>
      </b:Author>
    </b:Author>
    <b:Publisher>Banco Central de Bolivia</b:Publisher>
    <b:City>La Paz, Bolivia</b:City>
    <b:RefOrder>44</b:RefOrder>
  </b:Source>
</b:Sources>
</file>

<file path=customXml/itemProps1.xml><?xml version="1.0" encoding="utf-8"?>
<ds:datastoreItem xmlns:ds="http://schemas.openxmlformats.org/officeDocument/2006/customXml" ds:itemID="{E591435F-28E8-9042-A473-3EA87EB63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1348</Characters>
  <Application>Microsoft Office Word</Application>
  <DocSecurity>0</DocSecurity>
  <Lines>26</Lines>
  <Paragraphs>10</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Nogales</dc:creator>
  <cp:keywords/>
  <dc:description/>
  <cp:lastModifiedBy>Ricardo Nogales</cp:lastModifiedBy>
  <cp:revision>2</cp:revision>
  <dcterms:created xsi:type="dcterms:W3CDTF">2026-02-28T21:39:00Z</dcterms:created>
  <dcterms:modified xsi:type="dcterms:W3CDTF">2026-02-28T21:39:00Z</dcterms:modified>
</cp:coreProperties>
</file>