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08AADBAD" w:rsidR="00392697" w:rsidRPr="003A75B4" w:rsidRDefault="003A75B4" w:rsidP="003A75B4">
      <w:pPr>
        <w:jc w:val="both"/>
        <w:rPr>
          <w:lang w:val="en-US"/>
        </w:rPr>
      </w:pPr>
      <w:r w:rsidRPr="003A75B4">
        <w:rPr>
          <w:lang w:val="en-US"/>
        </w:rPr>
        <w:t>This study applies a qualitative, descriptive, and</w:t>
      </w:r>
      <w:r>
        <w:rPr>
          <w:lang w:val="en-US"/>
        </w:rPr>
        <w:t xml:space="preserve"> </w:t>
      </w:r>
      <w:r w:rsidRPr="003A75B4">
        <w:rPr>
          <w:lang w:val="en-US"/>
        </w:rPr>
        <w:t>interpretative approach, using the semiotic method proposed</w:t>
      </w:r>
      <w:r>
        <w:rPr>
          <w:lang w:val="en-US"/>
        </w:rPr>
        <w:t xml:space="preserve"> </w:t>
      </w:r>
      <w:r w:rsidRPr="003A75B4">
        <w:rPr>
          <w:lang w:val="en-US"/>
        </w:rPr>
        <w:t>by Umberto Eco [1] and Roland Barthes [2] to unravel the</w:t>
      </w:r>
      <w:r>
        <w:rPr>
          <w:lang w:val="en-US"/>
        </w:rPr>
        <w:t xml:space="preserve"> </w:t>
      </w:r>
      <w:r w:rsidRPr="003A75B4">
        <w:rPr>
          <w:lang w:val="en-US"/>
        </w:rPr>
        <w:t>ideological</w:t>
      </w:r>
      <w:r>
        <w:rPr>
          <w:lang w:val="en-US"/>
        </w:rPr>
        <w:t xml:space="preserve"> </w:t>
      </w:r>
      <w:r w:rsidRPr="003A75B4">
        <w:rPr>
          <w:lang w:val="en-US"/>
        </w:rPr>
        <w:t>discourses in colonial visual production. Through</w:t>
      </w:r>
      <w:r>
        <w:rPr>
          <w:lang w:val="en-US"/>
        </w:rPr>
        <w:t xml:space="preserve"> </w:t>
      </w:r>
      <w:r w:rsidRPr="003A75B4">
        <w:rPr>
          <w:lang w:val="en-US"/>
        </w:rPr>
        <w:t xml:space="preserve">a decolonial perspective, based on Silvia Rivera </w:t>
      </w:r>
      <w:proofErr w:type="spellStart"/>
      <w:r w:rsidRPr="003A75B4">
        <w:rPr>
          <w:lang w:val="en-US"/>
        </w:rPr>
        <w:t>Cusicanqui</w:t>
      </w:r>
      <w:proofErr w:type="spellEnd"/>
      <w:r w:rsidRPr="003A75B4">
        <w:rPr>
          <w:lang w:val="en-US"/>
        </w:rPr>
        <w:t xml:space="preserve"> [3],</w:t>
      </w:r>
      <w:r>
        <w:rPr>
          <w:lang w:val="en-US"/>
        </w:rPr>
        <w:t xml:space="preserve"> </w:t>
      </w:r>
      <w:r w:rsidRPr="003A75B4">
        <w:rPr>
          <w:lang w:val="en-US"/>
        </w:rPr>
        <w:t>and Walter Mignolo [4]. The research questions colonial power</w:t>
      </w:r>
      <w:r>
        <w:rPr>
          <w:lang w:val="en-US"/>
        </w:rPr>
        <w:t xml:space="preserve"> </w:t>
      </w:r>
      <w:r w:rsidRPr="003A75B4">
        <w:rPr>
          <w:lang w:val="en-US"/>
        </w:rPr>
        <w:t>structures</w:t>
      </w:r>
      <w:r>
        <w:rPr>
          <w:lang w:val="en-US"/>
        </w:rPr>
        <w:t xml:space="preserve"> </w:t>
      </w:r>
      <w:r w:rsidRPr="003A75B4">
        <w:rPr>
          <w:lang w:val="en-US"/>
        </w:rPr>
        <w:t xml:space="preserve">inscribed in </w:t>
      </w:r>
      <w:proofErr w:type="spellStart"/>
      <w:r w:rsidRPr="003A75B4">
        <w:rPr>
          <w:lang w:val="en-US"/>
        </w:rPr>
        <w:t>virreinal</w:t>
      </w:r>
      <w:proofErr w:type="spellEnd"/>
      <w:r w:rsidRPr="003A75B4">
        <w:rPr>
          <w:lang w:val="en-US"/>
        </w:rPr>
        <w:t xml:space="preserve"> pictorial works and their influence</w:t>
      </w:r>
      <w:r>
        <w:rPr>
          <w:lang w:val="en-US"/>
        </w:rPr>
        <w:t xml:space="preserve"> </w:t>
      </w:r>
      <w:r w:rsidRPr="003A75B4">
        <w:rPr>
          <w:lang w:val="en-US"/>
        </w:rPr>
        <w:t>on contemporary Bolivian identity construction. The</w:t>
      </w:r>
      <w:r>
        <w:rPr>
          <w:lang w:val="en-US"/>
        </w:rPr>
        <w:t xml:space="preserve"> </w:t>
      </w:r>
      <w:r w:rsidRPr="003A75B4">
        <w:rPr>
          <w:lang w:val="en-US"/>
        </w:rPr>
        <w:t>analysis reveals that colonial graphic signs functioned not only</w:t>
      </w:r>
      <w:r>
        <w:rPr>
          <w:lang w:val="en-US"/>
        </w:rPr>
        <w:t xml:space="preserve"> </w:t>
      </w:r>
      <w:r w:rsidRPr="003A75B4">
        <w:rPr>
          <w:lang w:val="en-US"/>
        </w:rPr>
        <w:t>as instruments</w:t>
      </w:r>
      <w:r>
        <w:rPr>
          <w:lang w:val="en-US"/>
        </w:rPr>
        <w:t xml:space="preserve"> </w:t>
      </w:r>
      <w:r w:rsidRPr="003A75B4">
        <w:rPr>
          <w:lang w:val="en-US"/>
        </w:rPr>
        <w:t>of cultural domination, but also as spaces for</w:t>
      </w:r>
      <w:r>
        <w:rPr>
          <w:lang w:val="en-US"/>
        </w:rPr>
        <w:t xml:space="preserve"> </w:t>
      </w:r>
      <w:r w:rsidRPr="003A75B4">
        <w:rPr>
          <w:lang w:val="en-US"/>
        </w:rPr>
        <w:t>resignification and resistance. Furthermore, the study posits</w:t>
      </w:r>
      <w:r>
        <w:rPr>
          <w:lang w:val="en-US"/>
        </w:rPr>
        <w:t xml:space="preserve"> </w:t>
      </w:r>
      <w:r w:rsidRPr="003A75B4">
        <w:rPr>
          <w:lang w:val="en-US"/>
        </w:rPr>
        <w:t>the reappropriating of these signs for current graphic design an</w:t>
      </w:r>
      <w:r>
        <w:rPr>
          <w:lang w:val="en-US"/>
        </w:rPr>
        <w:t xml:space="preserve"> </w:t>
      </w:r>
      <w:r w:rsidRPr="003A75B4">
        <w:rPr>
          <w:lang w:val="en-US"/>
        </w:rPr>
        <w:t>exercise in cultural reclamation and identity construction. The</w:t>
      </w:r>
      <w:r>
        <w:rPr>
          <w:lang w:val="en-US"/>
        </w:rPr>
        <w:t xml:space="preserve"> </w:t>
      </w:r>
      <w:r w:rsidRPr="003A75B4">
        <w:rPr>
          <w:lang w:val="en-US"/>
        </w:rPr>
        <w:t>research contributes to the debate on the</w:t>
      </w:r>
      <w:r>
        <w:rPr>
          <w:lang w:val="en-US"/>
        </w:rPr>
        <w:t xml:space="preserve"> </w:t>
      </w:r>
      <w:r w:rsidRPr="003A75B4">
        <w:rPr>
          <w:lang w:val="en-US"/>
        </w:rPr>
        <w:t>decolonization of art</w:t>
      </w:r>
      <w:r>
        <w:rPr>
          <w:lang w:val="en-US"/>
        </w:rPr>
        <w:t xml:space="preserve"> </w:t>
      </w:r>
      <w:r w:rsidRPr="003A75B4">
        <w:rPr>
          <w:lang w:val="en-US"/>
        </w:rPr>
        <w:t>and proposes a critical reading that links history, aesthetics, and</w:t>
      </w:r>
      <w:r>
        <w:rPr>
          <w:lang w:val="en-US"/>
        </w:rPr>
        <w:t xml:space="preserve"> </w:t>
      </w:r>
      <w:r w:rsidRPr="003A75B4">
        <w:rPr>
          <w:lang w:val="en-US"/>
        </w:rPr>
        <w:t>visual communication in the Bolivian context.</w:t>
      </w:r>
    </w:p>
    <w:sectPr w:rsidR="00392697" w:rsidRPr="003A75B4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A75B4"/>
    <w:rsid w:val="003F3FAF"/>
    <w:rsid w:val="00715DF4"/>
    <w:rsid w:val="0077292D"/>
    <w:rsid w:val="008145D1"/>
    <w:rsid w:val="00835256"/>
    <w:rsid w:val="00887860"/>
    <w:rsid w:val="00920C3E"/>
    <w:rsid w:val="0099431E"/>
    <w:rsid w:val="009A061A"/>
    <w:rsid w:val="009D73BD"/>
    <w:rsid w:val="00A347DE"/>
    <w:rsid w:val="00A7146F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13</Lines>
  <Paragraphs>3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2026-02-28T20:58:00Z</dcterms:created>
  <dcterms:modified xsi:type="dcterms:W3CDTF">2026-02-28T20:58:00Z</dcterms:modified>
</cp:coreProperties>
</file>